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E5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F1727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49B63FB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安徽医科大学临床医学院第四届</w:t>
      </w:r>
      <w:r>
        <w:rPr>
          <w:rFonts w:hint="eastAsia" w:ascii="黑体" w:hAnsi="黑体" w:eastAsia="黑体" w:cs="黑体"/>
          <w:sz w:val="44"/>
          <w:szCs w:val="44"/>
        </w:rPr>
        <w:t>大学生</w:t>
      </w:r>
    </w:p>
    <w:p w14:paraId="5358623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职业规划大赛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就业</w:t>
      </w:r>
      <w:r>
        <w:rPr>
          <w:rFonts w:hint="eastAsia" w:ascii="黑体" w:hAnsi="黑体" w:eastAsia="黑体" w:cs="黑体"/>
          <w:sz w:val="44"/>
          <w:szCs w:val="44"/>
        </w:rPr>
        <w:t>赛道方案</w:t>
      </w:r>
      <w:bookmarkEnd w:id="0"/>
    </w:p>
    <w:p w14:paraId="6FD355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7FEC6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6DFCBB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考察学生的求职实战能力，对照目标职业及岗位要求，个人综合素质和专业能力等方面的契合度，个人发展路径与就业市场需求的适应度。</w:t>
      </w:r>
    </w:p>
    <w:p w14:paraId="44A1EA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二、参赛组别和对象</w:t>
      </w:r>
    </w:p>
    <w:p w14:paraId="333937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就业赛道参赛对象为高教组普通本科三、四年级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部分专业五年级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学生。</w:t>
      </w:r>
    </w:p>
    <w:p w14:paraId="4B2D4D7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三、参赛材料要求</w:t>
      </w:r>
    </w:p>
    <w:p w14:paraId="223E19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选手在大赛平台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网址：zgs.chsi.com.cn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提交以下参赛材料：</w:t>
      </w:r>
    </w:p>
    <w:p w14:paraId="0772EA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求职简历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PDF格式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A91289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求职综合展示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PPT格式，不超过50MB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可加入视频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62BCB2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辅助证明材料，包括实践、实习、获奖等证明材料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PDF格式，整合为单个文件，不超过50MB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FDC75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四、比赛环节</w:t>
      </w:r>
    </w:p>
    <w:p w14:paraId="79C7EA1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就业赛道设主题陈述、综合面试、天降offer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录用意向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环节。各环节时长根据实际情况适当调整。</w:t>
      </w:r>
    </w:p>
    <w:p w14:paraId="64DF76F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主题陈述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6分钟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:选手结合求职综合展示PPT,陈述个人求职意向和职业准备情况。</w:t>
      </w:r>
    </w:p>
    <w:p w14:paraId="024FC9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综合面试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6分钟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:评委提出真实工作场景中可能遇到的问题，选手提出解决方案；评委结合选手陈述自由提问。</w:t>
      </w:r>
    </w:p>
    <w:p w14:paraId="780EFD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天降offer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:用人单位根据选手表现，决定是否给出录用意向，并对选手作点评。</w:t>
      </w:r>
    </w:p>
    <w:p w14:paraId="5BC4546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五、评审标准</w:t>
      </w:r>
    </w:p>
    <w:tbl>
      <w:tblPr>
        <w:tblStyle w:val="4"/>
        <w:tblW w:w="8117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6333"/>
        <w:gridCol w:w="833"/>
      </w:tblGrid>
      <w:tr w14:paraId="0FC93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51" w:type="dxa"/>
            <w:vAlign w:val="center"/>
          </w:tcPr>
          <w:p w14:paraId="683E77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6333" w:type="dxa"/>
            <w:vAlign w:val="center"/>
          </w:tcPr>
          <w:p w14:paraId="7348B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</w:t>
            </w:r>
          </w:p>
        </w:tc>
        <w:tc>
          <w:tcPr>
            <w:tcW w:w="833" w:type="dxa"/>
            <w:vAlign w:val="center"/>
          </w:tcPr>
          <w:p w14:paraId="6859C5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 w14:paraId="2DC7E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51" w:type="dxa"/>
            <w:vMerge w:val="restart"/>
            <w:tcBorders>
              <w:bottom w:val="nil"/>
            </w:tcBorders>
            <w:vAlign w:val="center"/>
          </w:tcPr>
          <w:p w14:paraId="2D6A1B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</w:t>
            </w:r>
          </w:p>
          <w:p w14:paraId="2F26D1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</w:t>
            </w:r>
          </w:p>
        </w:tc>
        <w:tc>
          <w:tcPr>
            <w:tcW w:w="6333" w:type="dxa"/>
            <w:vAlign w:val="center"/>
          </w:tcPr>
          <w:p w14:paraId="7176B7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833" w:type="dxa"/>
            <w:vAlign w:val="center"/>
          </w:tcPr>
          <w:p w14:paraId="59D87E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030A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 w14:paraId="0825F0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069C69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833" w:type="dxa"/>
            <w:vAlign w:val="center"/>
          </w:tcPr>
          <w:p w14:paraId="7B5960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06D4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51" w:type="dxa"/>
            <w:vMerge w:val="restart"/>
            <w:vAlign w:val="center"/>
          </w:tcPr>
          <w:p w14:paraId="461707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  <w:p w14:paraId="67889E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胜任力</w:t>
            </w:r>
          </w:p>
        </w:tc>
        <w:tc>
          <w:tcPr>
            <w:tcW w:w="6333" w:type="dxa"/>
            <w:vAlign w:val="center"/>
          </w:tcPr>
          <w:p w14:paraId="622F31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基本目标岗位所需综合素质，如思维认知、沟通协作能力和执行能力等，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具有敬业奉献的职业精神</w:t>
            </w:r>
          </w:p>
        </w:tc>
        <w:tc>
          <w:tcPr>
            <w:tcW w:w="833" w:type="dxa"/>
            <w:vAlign w:val="center"/>
          </w:tcPr>
          <w:p w14:paraId="01D259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 w14:paraId="28EB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51" w:type="dxa"/>
            <w:vMerge w:val="continue"/>
            <w:vAlign w:val="top"/>
          </w:tcPr>
          <w:p w14:paraId="05B9C9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2E425C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833" w:type="dxa"/>
            <w:vAlign w:val="center"/>
          </w:tcPr>
          <w:p w14:paraId="0DF4E5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 w14:paraId="2900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951" w:type="dxa"/>
            <w:vAlign w:val="center"/>
          </w:tcPr>
          <w:p w14:paraId="3108E6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</w:t>
            </w:r>
          </w:p>
          <w:p w14:paraId="1B6109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潜力</w:t>
            </w:r>
          </w:p>
        </w:tc>
        <w:tc>
          <w:tcPr>
            <w:tcW w:w="6333" w:type="dxa"/>
            <w:vAlign w:val="center"/>
          </w:tcPr>
          <w:p w14:paraId="6687BE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具备持续学习能力，创新精神和应对不确定性挑战的潜质，适应未来职业发展要求；符合就业市场需求，现场获得用人单位提供的录用意向</w:t>
            </w:r>
          </w:p>
        </w:tc>
        <w:tc>
          <w:tcPr>
            <w:tcW w:w="833" w:type="dxa"/>
            <w:vAlign w:val="center"/>
          </w:tcPr>
          <w:p w14:paraId="0DF2BE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B505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</w:tbl>
    <w:p w14:paraId="139ECF4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 w14:paraId="0F393A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</w:rPr>
        <w:t>赛道设置金奖、银奖、铜奖，以及优秀指导教师奖等奖项。</w:t>
      </w:r>
    </w:p>
    <w:sectPr>
      <w:footerReference r:id="rId5" w:type="default"/>
      <w:pgSz w:w="11900" w:h="16840"/>
      <w:pgMar w:top="1440" w:right="1800" w:bottom="1440" w:left="1800" w:header="0" w:footer="13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AE4C">
    <w:pPr>
      <w:spacing w:line="178" w:lineRule="auto"/>
      <w:ind w:left="7965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3"/>
        <w:sz w:val="34"/>
        <w:szCs w:val="34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ZhZWE2NjkyODBiZjI2YzUyOTY5NzUwMWVkM2EifQ=="/>
  </w:docVars>
  <w:rsids>
    <w:rsidRoot w:val="76063479"/>
    <w:rsid w:val="760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2024-11-06T00:51:00Z</dcterms:created>
  <dc:creator>木子Ari</dc:creator>
  <cp:lastModifiedBy>木子Ari</cp:lastModifiedBy>
  <dcterms:modified xsi:type="dcterms:W3CDTF">2024-11-06T00:52:14Z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8673FB81E1DD4C339DB6FDD4F52FA487_11</vt:lpwstr>
  </property>
</Properties>
</file>