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jc w:val="left"/>
        <w:rPr>
          <w:rFonts w:ascii="黑体" w:hAnsi="黑体" w:eastAsia="黑体" w:cs="黑体"/>
          <w:b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jc w:val="center"/>
        <w:rPr>
          <w:rFonts w:ascii="方正小标宋简体" w:eastAsia="方正小标宋简体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方正小标宋简体" w:eastAsia="方正小标宋简体" w:cs="宋体"/>
          <w:color w:val="000000"/>
          <w:spacing w:val="-6"/>
          <w:kern w:val="0"/>
          <w:sz w:val="32"/>
          <w:szCs w:val="32"/>
        </w:rPr>
        <w:t>2020—2021学年马工程重点教材情况一览表</w:t>
      </w:r>
    </w:p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jc w:val="center"/>
        <w:rPr>
          <w:rFonts w:ascii="楷体_GB2312" w:hAnsi="楷体_GB2312" w:eastAsia="楷体_GB2312" w:cs="楷体_GB2312"/>
          <w:color w:val="000000"/>
          <w:spacing w:val="-6"/>
          <w:kern w:val="0"/>
          <w:sz w:val="28"/>
          <w:szCs w:val="28"/>
        </w:rPr>
      </w:pPr>
      <w:r>
        <w:rPr>
          <w:rFonts w:ascii="楷体_GB2312" w:hAnsi="楷体_GB2312" w:eastAsia="楷体_GB2312" w:cs="楷体_GB2312"/>
          <w:color w:val="000000"/>
          <w:spacing w:val="-6"/>
          <w:kern w:val="0"/>
          <w:sz w:val="28"/>
          <w:szCs w:val="28"/>
        </w:rPr>
        <w:t>（共</w:t>
      </w:r>
      <w:r>
        <w:rPr>
          <w:rFonts w:hint="eastAsia" w:ascii="楷体_GB2312" w:hAnsi="楷体_GB2312" w:eastAsia="楷体_GB2312" w:cs="楷体_GB2312"/>
          <w:color w:val="000000"/>
          <w:spacing w:val="-6"/>
          <w:kern w:val="0"/>
          <w:sz w:val="28"/>
          <w:szCs w:val="28"/>
        </w:rPr>
        <w:t>8</w:t>
      </w:r>
      <w:r>
        <w:rPr>
          <w:rFonts w:ascii="楷体_GB2312" w:hAnsi="楷体_GB2312" w:eastAsia="楷体_GB2312" w:cs="楷体_GB2312"/>
          <w:color w:val="000000"/>
          <w:spacing w:val="-6"/>
          <w:kern w:val="0"/>
          <w:sz w:val="28"/>
          <w:szCs w:val="28"/>
        </w:rPr>
        <w:t>7种）</w:t>
      </w:r>
    </w:p>
    <w:p>
      <w:pPr>
        <w:widowControl/>
        <w:overflowPunct/>
        <w:topLinePunct w:val="0"/>
        <w:adjustRightInd w:val="0"/>
        <w:snapToGrid w:val="0"/>
        <w:spacing w:line="240" w:lineRule="auto"/>
        <w:ind w:firstLine="442" w:firstLineChars="0"/>
        <w:jc w:val="center"/>
        <w:rPr>
          <w:rFonts w:cs="宋体"/>
          <w:color w:val="000000"/>
          <w:kern w:val="0"/>
          <w:sz w:val="22"/>
          <w:szCs w:val="22"/>
        </w:rPr>
      </w:pPr>
    </w:p>
    <w:tbl>
      <w:tblPr>
        <w:tblStyle w:val="18"/>
        <w:tblW w:w="10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2330"/>
        <w:gridCol w:w="2847"/>
        <w:gridCol w:w="1985"/>
        <w:gridCol w:w="1901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488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序号</w:t>
            </w:r>
          </w:p>
        </w:tc>
        <w:tc>
          <w:tcPr>
            <w:tcW w:w="2330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教材名称</w:t>
            </w:r>
          </w:p>
        </w:tc>
        <w:tc>
          <w:tcPr>
            <w:tcW w:w="2847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书号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首席专家/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主编、副主编</w:t>
            </w:r>
          </w:p>
        </w:tc>
        <w:tc>
          <w:tcPr>
            <w:tcW w:w="1901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出版社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出版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马克思主义哲学</w:t>
            </w:r>
          </w:p>
        </w:tc>
        <w:tc>
          <w:tcPr>
            <w:tcW w:w="2847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978-7-04-026774-7</w:t>
            </w:r>
          </w:p>
        </w:tc>
        <w:tc>
          <w:tcPr>
            <w:tcW w:w="1985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袁贵仁、杨春贵、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李景源、丰子义</w:t>
            </w:r>
          </w:p>
        </w:tc>
        <w:tc>
          <w:tcPr>
            <w:tcW w:w="1901" w:type="dxa"/>
            <w:vMerge w:val="restart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马克思主义哲学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978-7-04-054042-0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袁贵仁、李景源、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丰子义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史学概论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978-7-04-026776-1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张岂之、陈祖武、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于沛、李文海、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李捷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史学概论（第二版）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978-7-04-053270-8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李捷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文学理论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978-7-04-026773-0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童庆炳、李准、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陈建功、杨义、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杨志今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文学理论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978-7-04-054362-9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王一川、胡亚敏、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谭好哲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新闻学概论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978-7-04-013477-3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何梓华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新闻学概论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978-7-04-053367-5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明立志、高晓虹、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王润泽、季为民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法理学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978-7-01-008643-9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张文显、信春鹰、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许崇德、夏勇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法理学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978-7-01-022827-3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张文显、信春鹰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宪法学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978-7-04-033736-5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许崇德、韩大元、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李林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宪法学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978-7-04-052621-9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胡云腾、胡锦光、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李林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西方经济学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978-7-04-017100-6（上）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978-7-04-015308-8（下）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978-7-04-033312-1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（上下）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吴易风、颜鹏飞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西方经济学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978-7-04-052553-3（上)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978-7-04-052554-0（下)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978-7-04-052641-7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（上下）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颜鹏飞、刘凤良、</w:t>
            </w:r>
          </w:p>
          <w:p>
            <w:pPr>
              <w:widowControl/>
              <w:overflowPunct/>
              <w:topLinePunct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</w:rPr>
              <w:t>吴汉洪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世界经济概论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978-7-04-019258-2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池元吉、杜厚文、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薛敬孝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世界经济概论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978-7-04-053730-7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关雪凌、李晓、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李坤望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马克思主义政治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经济学概论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978-7-01-009875-3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刘树成、吴树青、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纪宝成、李兴山、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张宇、胡家勇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马克思主义政治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经济学概论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978-7-01-023355-0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李建平、张宇、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简新华、胡家勇、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蒋永穆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社会学概论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978-7-01-009781-7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郑杭生、景天魁、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李培林、洪大用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社会学概论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978-7-01-022769-6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洪大用、李强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西方哲学史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978-7-04-033740-2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赵敦华、韩震、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邓晓芒、倪梁康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西方哲学史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978-7-04-052555-7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韩震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科学社会主义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概论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978-7-01-009838-8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李君如、赵曜、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靳辉明、严书翰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科学社会主义概论（第二版）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978-7-01-022303-2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方立、靳诺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政治学概论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978-7-04-031988-0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张永桃、王一程、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房宁、王浦劬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政治学概论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978-7-04-054399-5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王浦劬、周光辉、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燕继荣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西方政治思想史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978-7-04-033831-7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徐大同、张桂林、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高建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西方政治思想史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978-7-04-050665-5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徐大同、张桂林、</w:t>
            </w:r>
          </w:p>
          <w:p>
            <w:pPr>
              <w:widowControl/>
              <w:overflowPunct/>
              <w:topLinePunct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</w:rPr>
              <w:t>高建、佟德志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中国政治思想史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978-7-04-034468-4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曹德本、宝成关、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孙晓春、葛荃、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游洛屏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中国政治思想史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978-7-04-050666-2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曹德本、孙晓春、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王宪明、张茂泽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《资本论》导读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978-7-04-035669-4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林岗、洪银兴、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雎国余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《资本论》导读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978-7-04-053327-9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林岗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马克思主义经济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学说史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978-7-04-035686-1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顾海良、程恩富、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柳欣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马克思主义经济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学说史（第二版）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978-7-04-054443-5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顾海良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中国近代史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978-7-04-036274-9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张海鹏、杨胜群、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郑师渠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中国近代史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978-7-04-052654-7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978-7-04-052655-4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张海鹏、郑师渠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马克思恩格斯列宁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哲学经典著作导读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978-7-01-010528-4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侯惠勤、余源培、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侯才、郝立新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马克思恩格斯列宁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哲学经典著作导读（第二版）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978-7-01-022301-8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金民卿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马克思恩格斯列宁历史理论经典著作导读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978-7-01-010785-1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沙健孙、李捷、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李文海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马克思恩格斯列宁历史理论经典著作导读（第二版）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978-7-01-022387-2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沙健孙、田心铭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中国哲学史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（上下）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978-7-01-010841-4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方克立、郭齐勇、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冯达文、陈卫平、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孙熙国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中国哲学史（上下）（第二版）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978-7-01-022925-6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方克立、冯达文、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陈卫平、孙熙国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伦理学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978-7-04-033835-5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万俊人、焦国成、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王泽应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伦理学（第二版）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978-7-04-056156-2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郭广银、王泽应、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王淑芹、王小锡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马克思主义哲学史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978-7-04-034159-1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赵家祥、梁树发、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庄福龄、叶汝贤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马克思主义哲学史（第二版）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978-7-04-054332-2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梁树发、赵家祥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国际共产主义运动史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978-7-01-010837-7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吴恩远、吴家庆、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柴尚金、俞思念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国际共产主义运动史（第二版）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978-7-01-022330-8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吴恩远、柴尚金、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吴家庆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世界现代史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978-7-04-037485-8（上）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978-7-04-037796-5（下）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于沛、胡德坤、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李世安、徐蓝、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孟庆龙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世界现代史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978-7-04-053326-2（上）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978-7-04-053739-0（下）</w:t>
            </w:r>
          </w:p>
        </w:tc>
        <w:tc>
          <w:tcPr>
            <w:tcW w:w="1985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于沛、孟庆龙、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黄民兴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中华人民共和国史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978-7-04-038664-6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程中原、吴敏先、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陈述、柳建辉</w:t>
            </w:r>
          </w:p>
        </w:tc>
        <w:tc>
          <w:tcPr>
            <w:tcW w:w="190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马克思主义发展史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978-7-04-037872-6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邢贲思、梅荣政、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张雷声、艾四林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马克思主义发展史（第二版）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978-7-04-055418-2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梅荣政、艾四林、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张新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比较文学概论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978-7-04-041915-3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曹顺庆、孙景尧、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高旭东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比较文学概论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978-7-04-050105-6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中国伦理思想史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978-7-04-041912-2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张锡勤、杨明、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张怀承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中国伦理思想史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000000" w:fill="FFFFFF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978-7-04-050090-5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考古学概论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978-7-04-041899-6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栾丰实、钱耀鹏、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方辉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考古学概论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978-7-04-050113-1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中国美学史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978-7-04-041914-6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张法、朱良志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中国美学史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978-7-04-050093-6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</w:rPr>
              <w:t>当代西方文学思潮评析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978-7-04-041841-5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冯宪光、江宁康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</w:rPr>
              <w:t>当代西方文学思潮评析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978-7-04-050104-9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西方文学理论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978-7-04-041834-7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曾繁仁、周宪、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王一川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西方文学理论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978-7-04-050197-1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外国文学史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978-7-04-042107-1（上）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978-7-04-042108-8（下）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聂珍钊、郑克鲁、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蒋承勇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外国文学史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978-7-04-050106-3（上）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978-7-04-050107-0（下）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西方美学史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978-7-04-042518-5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朱立元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西方美学史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978-7-04-050092-9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美学原理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978-7-04-043972-4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尤西林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美学原理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978-7-04-050091-2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中国思想史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978-7-04-043966-3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张岂之、谢阳举、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许苏民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中国思想史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978-7-04-050088-2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张岂之、谢阳举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中国文学理论批评史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978-7-04-044628-9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黄霖、李春青、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李建中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中国文学理论批评史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978-7-04-050110-0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中国古代文学史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978-7-04-044700-2（上）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978-7-04-044702-6（中）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978-7-04-044701-9（下）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袁世硕、陈文新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中国古代文学史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978-7-04-050108-7（上）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978-7-04-050109-4（中）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978-7-04-050117-9（下）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世界古代史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978-7-04-044944-0（上）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978-7-04-044939-6（下）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</w:rPr>
              <w:t>朱寰、杨共乐、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</w:rPr>
              <w:t>晏绍祥、王晋新、刘城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世界古代史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978-7-04-050111-7（上）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978-7-04-050112-4（下）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思想政治教育学原理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978-7-04-045157-3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郑永廷、刘书林、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沈壮海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思想政治教育学原理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978-7-04-050096-7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中国共产党思想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政治教育史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978-7-04-045914-2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王树荫、李斌雄、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邱圣宏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中国共产党思想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政治教育史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978-7-04-050094-3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中国革命史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978-7-04-045582-3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王顺生、王炳林、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陈述</w:t>
            </w:r>
          </w:p>
        </w:tc>
        <w:tc>
          <w:tcPr>
            <w:tcW w:w="190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经济法学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978-7-04-045915-9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张守文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经济法学（第二版）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978-7-04-050098-1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国际公法学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978-7-04-046525-9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曾令良、周忠海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国际公法学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978-7-04-050115-5</w:t>
            </w:r>
          </w:p>
        </w:tc>
        <w:tc>
          <w:tcPr>
            <w:tcW w:w="1985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曾令良、江国青、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周忠海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国际经济法学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978-7-04-045926-5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余劲松、左海聪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国际经济法学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978-7-04-050116-2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中国法制史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978-7-04-046891-5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朱勇、王立民、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赵晓耕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中国法制史（第二版）</w:t>
            </w:r>
          </w:p>
        </w:tc>
        <w:tc>
          <w:tcPr>
            <w:tcW w:w="2847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978-7-04-050101-8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行政法与行政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诉讼法学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978-7-04-045925-8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应松年、姜明安、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马怀德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行政法与行政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诉讼法学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978-7-04-050118-6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民事诉讼法学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978-7-04-046893-9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宋朝武、汤维健、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李浩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民事诉讼法学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978-7-04-050119-3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刑事诉讼法学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978-7-04-046892-2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陈卫东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刑事诉讼法学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978-7-04-050100-1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刑事诉讼法学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（第三版）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978-7-04-052335-5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劳动与社会保障法学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978-7-04-046894-6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刘俊、叶静漪、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林嘉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劳动与社会保障法学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978-7-04-050099-8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中国戏曲史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978-7-04-046896-0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郑传寅、俞为民、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朱恒夫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中国戏曲史（第二版）</w:t>
            </w:r>
          </w:p>
        </w:tc>
        <w:tc>
          <w:tcPr>
            <w:tcW w:w="2847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978-7-04-050600-6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逻辑学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978-7-04-047587-6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何向东、张建军、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任晓明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逻辑学（第二版）</w:t>
            </w:r>
          </w:p>
        </w:tc>
        <w:tc>
          <w:tcPr>
            <w:tcW w:w="2847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978-7-04-050089-9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 xml:space="preserve">国际组织 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978-7-04-047591-3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郑启荣、张贵洪、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严双伍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国际组织（第二版）</w:t>
            </w:r>
          </w:p>
        </w:tc>
        <w:tc>
          <w:tcPr>
            <w:tcW w:w="2847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978-7-04-050097-4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地方政府与政治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978-7-04-046890-8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徐勇、沈荣华、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潘小娟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地方政府与政治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978-7-04-050095-0</w:t>
            </w:r>
          </w:p>
        </w:tc>
        <w:tc>
          <w:tcPr>
            <w:tcW w:w="1985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1901" w:type="dxa"/>
            <w:vMerge w:val="continue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新闻编辑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978-7-04-046895-3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蔡雯、甘险峰</w:t>
            </w:r>
          </w:p>
        </w:tc>
        <w:tc>
          <w:tcPr>
            <w:tcW w:w="1901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新闻编辑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（第二版）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978-7-04-050102-5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蔡雯、甘险峰、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许向东</w:t>
            </w:r>
          </w:p>
        </w:tc>
        <w:tc>
          <w:tcPr>
            <w:tcW w:w="1901" w:type="dxa"/>
            <w:vMerge w:val="continue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区域经济学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978-7-04-048189-1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安虎森、孙久文、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吴殿廷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广告学概论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978-7-04-047993-5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丁俊杰、陈培爱、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金定海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民法学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978-7-04-045924-1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王利明、王卫国、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陈小君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 xml:space="preserve">商法学 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978-7-04-050075-2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范健、赵旭东、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叶林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刑法学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978-7-04-048157-0（上）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978-7-04-048158-7（下）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贾宇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知识产权法学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978-7-04-052207-5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刘春田、李明德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中国经济史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978-7-04-050130-8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王玉茹、萧国亮、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宁欣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世界经济史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978-7-04-050202-2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高德步、王珏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人口、资源与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环境经济学</w:t>
            </w:r>
          </w:p>
        </w:tc>
        <w:tc>
          <w:tcPr>
            <w:tcW w:w="2847" w:type="dxa"/>
            <w:shd w:val="clear" w:color="auto" w:fill="auto"/>
            <w:noWrap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978-7-04-050888-8</w:t>
            </w:r>
          </w:p>
        </w:tc>
        <w:tc>
          <w:tcPr>
            <w:tcW w:w="1985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马中、刘学敏、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白永秀</w:t>
            </w:r>
          </w:p>
        </w:tc>
        <w:tc>
          <w:tcPr>
            <w:tcW w:w="190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发展经济学</w:t>
            </w:r>
          </w:p>
        </w:tc>
        <w:tc>
          <w:tcPr>
            <w:tcW w:w="2847" w:type="dxa"/>
            <w:shd w:val="clear" w:color="auto" w:fill="auto"/>
            <w:noWrap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978-7-04-052212-9</w:t>
            </w:r>
          </w:p>
        </w:tc>
        <w:tc>
          <w:tcPr>
            <w:tcW w:w="1985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郭熙保、彭刚、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高波</w:t>
            </w:r>
          </w:p>
        </w:tc>
        <w:tc>
          <w:tcPr>
            <w:tcW w:w="190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西方经济学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流派评析</w:t>
            </w:r>
          </w:p>
        </w:tc>
        <w:tc>
          <w:tcPr>
            <w:tcW w:w="2847" w:type="dxa"/>
            <w:shd w:val="clear" w:color="auto" w:fill="auto"/>
            <w:noWrap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978-7-04-052266-2</w:t>
            </w:r>
          </w:p>
        </w:tc>
        <w:tc>
          <w:tcPr>
            <w:tcW w:w="1985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王志伟、方福前、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沈越</w:t>
            </w:r>
          </w:p>
        </w:tc>
        <w:tc>
          <w:tcPr>
            <w:tcW w:w="190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管理学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978-7-04-045832-9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陈传明、徐向艺、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赵丽芬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社会保障概论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978-7-04-051071-3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邓大松、杨燕绥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组织行为学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978-7-04-052206-8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孙健敏、张德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公共财政概论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978-7-04-052210-5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樊丽明、杨志勇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中国史学史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978-7-04-050883-3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瞿林东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外国史学史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978-7-04-050882-6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陈恒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博物馆学概论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978-7-04-050853-6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陈红京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文物学概论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978-7-04-052208-2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（彩图版）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978-7-04-052653-0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刘毅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人类学概论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978-7-04-050889-5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周大鸣、何明、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刘夏蓓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农村社会学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978-7-04-050890-1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钟涨宝、董磊明、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陆益龙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新闻采访与写作</w:t>
            </w:r>
          </w:p>
        </w:tc>
        <w:tc>
          <w:tcPr>
            <w:tcW w:w="2847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978-7-04-048502-8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罗以澄、丁柏铨、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张征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艺术学概论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978-7-04-051290-8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彭吉象、王一川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中国舞蹈史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978-7-04-051068-3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袁禾、郑慧慧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中国美术史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978-7-04-051818-4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尹吉男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科学技术哲学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978-7-04-050606-8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刘大椿、刘孝廷、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万小龙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西方伦理思想史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978-7-04-051772-9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龚群、张传有、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陈真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国际政治学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978-7-04-050728-7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陈岳、门洪华、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刘清才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当代中国外交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978-7-04-050502-3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宫力、李宝俊、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张清敏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教育学原理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978-7-04-050938-0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项贤明、冯建军、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柳海民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8" w:type="dxa"/>
            <w:vAlign w:val="center"/>
          </w:tcPr>
          <w:p>
            <w:pPr>
              <w:pStyle w:val="32"/>
              <w:widowControl/>
              <w:numPr>
                <w:ilvl w:val="0"/>
                <w:numId w:val="2"/>
              </w:numPr>
              <w:overflowPunct/>
              <w:topLinePunct w:val="0"/>
              <w:adjustRightInd w:val="0"/>
              <w:snapToGrid w:val="0"/>
              <w:spacing w:line="240" w:lineRule="auto"/>
              <w:ind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</w:p>
        </w:tc>
        <w:tc>
          <w:tcPr>
            <w:tcW w:w="233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教育哲学</w:t>
            </w:r>
          </w:p>
        </w:tc>
        <w:tc>
          <w:tcPr>
            <w:tcW w:w="2847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978-7-04-051112-3</w:t>
            </w:r>
          </w:p>
        </w:tc>
        <w:tc>
          <w:tcPr>
            <w:tcW w:w="1985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石中英、王坤庆、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郝斌</w:t>
            </w:r>
          </w:p>
        </w:tc>
        <w:tc>
          <w:tcPr>
            <w:tcW w:w="190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2019</w:t>
            </w:r>
          </w:p>
        </w:tc>
      </w:tr>
    </w:tbl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rPr>
          <w:rFonts w:ascii="仿宋_GB2312" w:hAnsi="仿宋_GB2312" w:eastAsia="仿宋_GB2312" w:cs="仿宋_GB2312"/>
          <w:color w:val="000000"/>
          <w:kern w:val="0"/>
        </w:rPr>
      </w:pPr>
    </w:p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：上表所列为相关学科专业课程教材。因9种高校思政课教材和《习近平总书记教育重要论述讲义》使用情况不在本次报送范围内，在本表中未详细列出。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adjustRightInd w:val="0"/>
      <w:spacing w:line="240" w:lineRule="auto"/>
      <w:ind w:firstLine="0" w:firstLineChars="0"/>
      <w:jc w:val="center"/>
      <w:rPr>
        <w:rFonts w:ascii="Times New Roman" w:hAnsi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d w:val="720484324"/>
                          </w:sdtPr>
                          <w:sdtEndP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13"/>
                                <w:adjustRightInd w:val="0"/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rFonts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cs="宋体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ind w:firstLine="560"/>
                            <w:rPr>
                              <w:rFonts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ascii="Times New Roman" w:hAnsi="Times New Roman"/>
                        <w:sz w:val="21"/>
                        <w:szCs w:val="21"/>
                      </w:rPr>
                      <w:id w:val="720484324"/>
                    </w:sdtPr>
                    <w:sdtEndPr>
                      <w:rPr>
                        <w:rFonts w:hint="eastAsia" w:ascii="宋体" w:hAnsi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13"/>
                          <w:adjustRightInd w:val="0"/>
                          <w:spacing w:line="240" w:lineRule="auto"/>
                          <w:ind w:firstLine="0" w:firstLineChars="0"/>
                          <w:jc w:val="center"/>
                          <w:rPr>
                            <w:rFonts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cs="宋体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ind w:firstLine="560"/>
                      <w:rPr>
                        <w:rFonts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ImpTraceLabel" o:spid="_x0000_s4097" o:spt="202" type="#_x0000_t202" style="position:absolute;left:0pt;margin-left:0pt;margin-top:0pt;height:0pt;width:0pt;mso-position-horizontal-relative:page;mso-position-vertical-relative:pag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r>
                  <w:t>&lt;root&gt;&lt;sender&gt;mgcjcc@moe.edu.cn&lt;/sender&gt;&lt;type&gt;2&lt;/type&gt;&lt;subject&gt;关于做好2020-2021学年普通高校马工程重点教材统一使用情况报送工作的通知.pdf&lt;/subject&gt;&lt;attachmentName&gt;附件1：教材情况一览表.docx&lt;/attachmentName&gt;&lt;addressee&gt;wanrui@ahedu.gov.cn&lt;/addressee&gt;&lt;mailSec&gt;无密级&lt;/mailSec&gt;&lt;sendTime&gt;2021-12-07 10:33:19&lt;/sendTime&gt;&lt;loadTime&gt;2021-12-07 10:35:57&lt;/loadTime&gt;&lt;/root&gt;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1">
    <w:nsid w:val="2ADD199E"/>
    <w:multiLevelType w:val="multilevel"/>
    <w:tmpl w:val="2ADD199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5CF0DB2"/>
    <w:rsid w:val="703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iPriority="99" w:name="Normal Indent"/>
    <w:lsdException w:qFormat="1"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0" w:name="HTML Code"/>
    <w:lsdException w:qFormat="1" w:uiPriority="0" w:name="HTML Definition"/>
    <w:lsdException w:qFormat="1" w:uiPriority="0" w:name="HTML Keyboard"/>
    <w:lsdException w:qFormat="1" w:uiPriority="99" w:name="HTML Preformatted"/>
    <w:lsdException w:qFormat="1" w:uiPriority="0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spacing w:after="200" w:line="500" w:lineRule="exact"/>
      <w:ind w:firstLine="20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qFormat/>
    <w:uiPriority w:val="0"/>
    <w:pPr>
      <w:keepNext/>
      <w:spacing w:line="480" w:lineRule="auto"/>
      <w:outlineLvl w:val="3"/>
    </w:pPr>
    <w:rPr>
      <w:rFonts w:eastAsia="黑体"/>
      <w:bCs/>
      <w:shd w:val="clear" w:color="auto" w:fill="E6E6E6"/>
    </w:rPr>
  </w:style>
  <w:style w:type="paragraph" w:styleId="6">
    <w:name w:val="heading 5"/>
    <w:basedOn w:val="1"/>
    <w:next w:val="1"/>
    <w:link w:val="26"/>
    <w:qFormat/>
    <w:uiPriority w:val="0"/>
    <w:pPr>
      <w:keepNext/>
      <w:ind w:firstLine="0"/>
      <w:jc w:val="center"/>
      <w:outlineLvl w:val="4"/>
    </w:pPr>
    <w:rPr>
      <w:sz w:val="28"/>
    </w:rPr>
  </w:style>
  <w:style w:type="paragraph" w:styleId="7">
    <w:name w:val="heading 6"/>
    <w:basedOn w:val="1"/>
    <w:next w:val="1"/>
    <w:link w:val="27"/>
    <w:qFormat/>
    <w:uiPriority w:val="0"/>
    <w:pPr>
      <w:keepNext/>
      <w:numPr>
        <w:ilvl w:val="5"/>
        <w:numId w:val="1"/>
      </w:numPr>
      <w:shd w:val="solid" w:color="FFFFFF" w:fill="000000"/>
      <w:adjustRightInd w:val="0"/>
      <w:spacing w:before="199" w:after="199" w:line="312" w:lineRule="atLeast"/>
      <w:ind w:firstLineChars="0"/>
      <w:outlineLvl w:val="5"/>
    </w:pPr>
    <w:rPr>
      <w:rFonts w:ascii="Century Gothic" w:hAnsi="Century Gothic"/>
      <w:i/>
      <w:kern w:val="0"/>
      <w:szCs w:val="20"/>
      <w:lang w:bidi="he-IL"/>
    </w:rPr>
  </w:style>
  <w:style w:type="paragraph" w:styleId="8">
    <w:name w:val="heading 7"/>
    <w:basedOn w:val="1"/>
    <w:next w:val="1"/>
    <w:link w:val="28"/>
    <w:qFormat/>
    <w:uiPriority w:val="0"/>
    <w:pPr>
      <w:keepNext/>
      <w:outlineLvl w:val="6"/>
    </w:pPr>
    <w:rPr>
      <w:b/>
      <w:bCs/>
      <w:color w:val="000000"/>
    </w:rPr>
  </w:style>
  <w:style w:type="paragraph" w:styleId="9">
    <w:name w:val="heading 9"/>
    <w:basedOn w:val="1"/>
    <w:next w:val="1"/>
    <w:link w:val="29"/>
    <w:qFormat/>
    <w:uiPriority w:val="0"/>
    <w:pPr>
      <w:keepNext/>
      <w:tabs>
        <w:tab w:val="left" w:pos="720"/>
      </w:tabs>
      <w:topLinePunct w:val="0"/>
      <w:ind w:firstLine="442" w:firstLineChars="100"/>
      <w:outlineLvl w:val="8"/>
    </w:pPr>
    <w:rPr>
      <w:b/>
      <w:bCs/>
      <w:sz w:val="44"/>
      <w:shd w:val="pct10" w:color="auto" w:fill="FFFFFF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annotation text"/>
    <w:basedOn w:val="1"/>
    <w:link w:val="34"/>
    <w:semiHidden/>
    <w:unhideWhenUsed/>
    <w:qFormat/>
    <w:uiPriority w:val="99"/>
    <w:pPr>
      <w:jc w:val="left"/>
    </w:pPr>
  </w:style>
  <w:style w:type="paragraph" w:styleId="11">
    <w:name w:val="toc 3"/>
    <w:basedOn w:val="1"/>
    <w:next w:val="1"/>
    <w:unhideWhenUsed/>
    <w:qFormat/>
    <w:uiPriority w:val="39"/>
    <w:pPr>
      <w:tabs>
        <w:tab w:val="right" w:leader="middleDot" w:pos="8160"/>
      </w:tabs>
      <w:suppressAutoHyphens/>
      <w:ind w:left="200" w:leftChars="200"/>
    </w:pPr>
    <w:rPr>
      <w:rFonts w:ascii="Times New Roman" w:hAnsi="Times New Roman"/>
      <w:szCs w:val="21"/>
    </w:rPr>
  </w:style>
  <w:style w:type="paragraph" w:styleId="12">
    <w:name w:val="Balloon Text"/>
    <w:basedOn w:val="1"/>
    <w:link w:val="3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4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  <w:pPr>
      <w:tabs>
        <w:tab w:val="right" w:leader="middleDot" w:pos="8160"/>
      </w:tabs>
      <w:suppressAutoHyphens/>
      <w:ind w:firstLine="0" w:firstLineChars="0"/>
    </w:pPr>
    <w:rPr>
      <w:rFonts w:ascii="Times New Roman" w:hAnsi="Times New Roman"/>
      <w:szCs w:val="21"/>
    </w:rPr>
  </w:style>
  <w:style w:type="paragraph" w:styleId="16">
    <w:name w:val="toc 2"/>
    <w:basedOn w:val="1"/>
    <w:next w:val="1"/>
    <w:unhideWhenUsed/>
    <w:qFormat/>
    <w:uiPriority w:val="39"/>
    <w:pPr>
      <w:tabs>
        <w:tab w:val="right" w:leader="middleDot" w:pos="8160"/>
      </w:tabs>
      <w:suppressAutoHyphens/>
      <w:ind w:left="200" w:leftChars="200" w:firstLine="0" w:firstLineChars="0"/>
    </w:pPr>
    <w:rPr>
      <w:rFonts w:ascii="Times New Roman" w:hAnsi="Times New Roman"/>
      <w:szCs w:val="21"/>
    </w:rPr>
  </w:style>
  <w:style w:type="paragraph" w:styleId="17">
    <w:name w:val="annotation subject"/>
    <w:basedOn w:val="10"/>
    <w:next w:val="10"/>
    <w:link w:val="35"/>
    <w:semiHidden/>
    <w:unhideWhenUsed/>
    <w:qFormat/>
    <w:uiPriority w:val="99"/>
    <w:rPr>
      <w:b/>
      <w:bCs/>
    </w:rPr>
  </w:style>
  <w:style w:type="character" w:styleId="20">
    <w:name w:val="annotation reference"/>
    <w:basedOn w:val="19"/>
    <w:semiHidden/>
    <w:unhideWhenUsed/>
    <w:qFormat/>
    <w:uiPriority w:val="99"/>
    <w:rPr>
      <w:sz w:val="21"/>
      <w:szCs w:val="21"/>
    </w:rPr>
  </w:style>
  <w:style w:type="paragraph" w:customStyle="1" w:styleId="21">
    <w:name w:val="图说"/>
    <w:next w:val="1"/>
    <w:qFormat/>
    <w:uiPriority w:val="0"/>
    <w:pPr>
      <w:widowControl w:val="0"/>
      <w:snapToGrid w:val="0"/>
      <w:spacing w:before="40" w:after="200" w:line="276" w:lineRule="auto"/>
      <w:jc w:val="center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22">
    <w:name w:val="标题 1 Char"/>
    <w:basedOn w:val="1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3">
    <w:name w:val="标题 2 Char"/>
    <w:basedOn w:val="19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4">
    <w:name w:val="标题 3 Char"/>
    <w:basedOn w:val="19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5">
    <w:name w:val="标题 4 Char"/>
    <w:basedOn w:val="19"/>
    <w:link w:val="5"/>
    <w:qFormat/>
    <w:uiPriority w:val="0"/>
    <w:rPr>
      <w:rFonts w:ascii="Times New Roman" w:hAnsi="Times New Roman" w:eastAsia="黑体" w:cs="Times New Roman"/>
      <w:bCs/>
      <w:sz w:val="28"/>
      <w:szCs w:val="24"/>
    </w:rPr>
  </w:style>
  <w:style w:type="character" w:customStyle="1" w:styleId="26">
    <w:name w:val="标题 5 Char"/>
    <w:link w:val="6"/>
    <w:qFormat/>
    <w:uiPriority w:val="0"/>
    <w:rPr>
      <w:rFonts w:ascii="宋体" w:hAnsi="宋体" w:eastAsia="宋体" w:cs="Times New Roman"/>
      <w:sz w:val="28"/>
      <w:szCs w:val="24"/>
    </w:rPr>
  </w:style>
  <w:style w:type="character" w:customStyle="1" w:styleId="27">
    <w:name w:val="标题 6 Char"/>
    <w:basedOn w:val="19"/>
    <w:link w:val="7"/>
    <w:qFormat/>
    <w:uiPriority w:val="0"/>
    <w:rPr>
      <w:rFonts w:ascii="Century Gothic" w:hAnsi="Century Gothic" w:eastAsia="宋体" w:cs="Times New Roman"/>
      <w:i/>
      <w:kern w:val="0"/>
      <w:sz w:val="28"/>
      <w:szCs w:val="20"/>
      <w:shd w:val="solid" w:color="FFFFFF" w:fill="000000"/>
      <w:lang w:bidi="he-IL"/>
    </w:rPr>
  </w:style>
  <w:style w:type="character" w:customStyle="1" w:styleId="28">
    <w:name w:val="标题 7 Char"/>
    <w:basedOn w:val="19"/>
    <w:link w:val="8"/>
    <w:qFormat/>
    <w:uiPriority w:val="0"/>
    <w:rPr>
      <w:rFonts w:ascii="Times New Roman" w:hAnsi="Times New Roman" w:eastAsia="宋体" w:cs="Times New Roman"/>
      <w:b/>
      <w:bCs/>
      <w:color w:val="000000"/>
      <w:sz w:val="28"/>
      <w:szCs w:val="24"/>
    </w:rPr>
  </w:style>
  <w:style w:type="character" w:customStyle="1" w:styleId="29">
    <w:name w:val="标题 9 Char"/>
    <w:basedOn w:val="19"/>
    <w:link w:val="9"/>
    <w:qFormat/>
    <w:uiPriority w:val="0"/>
    <w:rPr>
      <w:rFonts w:ascii="Times New Roman" w:hAnsi="Times New Roman" w:eastAsia="宋体" w:cs="Times New Roman"/>
      <w:b/>
      <w:bCs/>
      <w:sz w:val="44"/>
      <w:szCs w:val="24"/>
    </w:rPr>
  </w:style>
  <w:style w:type="character" w:customStyle="1" w:styleId="30">
    <w:name w:val="页眉 Char"/>
    <w:basedOn w:val="19"/>
    <w:link w:val="14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31">
    <w:name w:val="页脚 Char"/>
    <w:basedOn w:val="19"/>
    <w:link w:val="13"/>
    <w:qFormat/>
    <w:uiPriority w:val="99"/>
    <w:rPr>
      <w:rFonts w:ascii="宋体" w:hAnsi="宋体" w:eastAsia="宋体" w:cs="Times New Roman"/>
      <w:sz w:val="18"/>
      <w:szCs w:val="18"/>
    </w:rPr>
  </w:style>
  <w:style w:type="paragraph" w:styleId="32">
    <w:name w:val="List Paragraph"/>
    <w:basedOn w:val="1"/>
    <w:uiPriority w:val="99"/>
    <w:pPr>
      <w:ind w:firstLine="420"/>
    </w:pPr>
  </w:style>
  <w:style w:type="character" w:customStyle="1" w:styleId="33">
    <w:name w:val="批注框文本 Char"/>
    <w:basedOn w:val="19"/>
    <w:link w:val="12"/>
    <w:semiHidden/>
    <w:qFormat/>
    <w:uiPriority w:val="99"/>
    <w:rPr>
      <w:rFonts w:ascii="宋体" w:hAnsi="宋体" w:eastAsia="宋体" w:cs="Times New Roman"/>
      <w:kern w:val="2"/>
      <w:sz w:val="18"/>
      <w:szCs w:val="18"/>
    </w:rPr>
  </w:style>
  <w:style w:type="character" w:customStyle="1" w:styleId="34">
    <w:name w:val="批注文字 Char"/>
    <w:basedOn w:val="19"/>
    <w:link w:val="10"/>
    <w:semiHidden/>
    <w:qFormat/>
    <w:uiPriority w:val="99"/>
    <w:rPr>
      <w:rFonts w:ascii="宋体" w:hAnsi="宋体" w:eastAsia="宋体" w:cs="Times New Roman"/>
      <w:kern w:val="2"/>
      <w:sz w:val="24"/>
      <w:szCs w:val="24"/>
    </w:rPr>
  </w:style>
  <w:style w:type="character" w:customStyle="1" w:styleId="35">
    <w:name w:val="批注主题 Char"/>
    <w:basedOn w:val="34"/>
    <w:link w:val="17"/>
    <w:semiHidden/>
    <w:qFormat/>
    <w:uiPriority w:val="99"/>
    <w:rPr>
      <w:rFonts w:ascii="宋体" w:hAnsi="宋体" w:eastAsia="宋体" w:cs="Times New Roman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3556</Words>
  <Characters>6533</Characters>
  <Lines>54</Lines>
  <Paragraphs>15</Paragraphs>
  <TotalTime>5</TotalTime>
  <ScaleCrop>false</ScaleCrop>
  <LinksUpToDate>false</LinksUpToDate>
  <CharactersWithSpaces>6535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2021-11-29T06:48:00Z</dcterms:created>
  <dc:creator>pc01</dc:creator>
  <cp:lastModifiedBy>华园考研赵老师</cp:lastModifiedBy>
  <cp:lastPrinted>2021-11-29T06:38:00Z</cp:lastPrinted>
  <dcterms:modified xsi:type="dcterms:W3CDTF">2022-04-28T07:41:55Z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AED9FFDAA8114EE1836658366565891B</vt:lpwstr>
  </property>
</Properties>
</file>